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26A" w:rsidRPr="002D46F9" w:rsidRDefault="00447C32" w:rsidP="00447C3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Anexa nr. 1</w:t>
      </w:r>
      <w:r w:rsidR="00FF7048" w:rsidRPr="002D46F9">
        <w:rPr>
          <w:rFonts w:ascii="Times New Roman" w:hAnsi="Times New Roman" w:cs="Times New Roman"/>
          <w:b/>
          <w:sz w:val="24"/>
          <w:szCs w:val="24"/>
        </w:rPr>
        <w:t xml:space="preserve"> la Hotărârea Consiliului Local al Municipiului</w:t>
      </w:r>
      <w:r w:rsidR="00753FF5">
        <w:rPr>
          <w:rFonts w:ascii="Times New Roman" w:hAnsi="Times New Roman" w:cs="Times New Roman"/>
          <w:b/>
          <w:sz w:val="24"/>
          <w:szCs w:val="24"/>
        </w:rPr>
        <w:t xml:space="preserve"> Craiova nr.242</w:t>
      </w:r>
      <w:r w:rsidR="002D46F9" w:rsidRPr="002D46F9">
        <w:rPr>
          <w:rFonts w:ascii="Times New Roman" w:hAnsi="Times New Roman" w:cs="Times New Roman"/>
          <w:b/>
          <w:sz w:val="24"/>
          <w:szCs w:val="24"/>
        </w:rPr>
        <w:t>/2020</w:t>
      </w:r>
    </w:p>
    <w:p w:rsidR="00447C32" w:rsidRDefault="00447C32" w:rsidP="00447C32">
      <w:pPr>
        <w:jc w:val="right"/>
      </w:pPr>
      <w:bookmarkStart w:id="0" w:name="_GoBack"/>
      <w:bookmarkEnd w:id="0"/>
    </w:p>
    <w:p w:rsidR="00447C32" w:rsidRPr="00447C32" w:rsidRDefault="00447C32" w:rsidP="00447C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Lista </w:t>
      </w:r>
      <w:r w:rsidR="00FF4AA4">
        <w:rPr>
          <w:rFonts w:ascii="Times New Roman" w:hAnsi="Times New Roman" w:cs="Times New Roman"/>
          <w:sz w:val="24"/>
          <w:szCs w:val="24"/>
        </w:rPr>
        <w:t>privind investițiile de interes</w:t>
      </w:r>
      <w:r w:rsidRPr="00447C32">
        <w:rPr>
          <w:rFonts w:ascii="Times New Roman" w:hAnsi="Times New Roman" w:cs="Times New Roman"/>
          <w:sz w:val="24"/>
          <w:szCs w:val="24"/>
        </w:rPr>
        <w:t xml:space="preserve"> local ce se vor finanța din </w:t>
      </w:r>
    </w:p>
    <w:p w:rsidR="00D119F0" w:rsidRDefault="00447C32" w:rsidP="00447C3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 xml:space="preserve">contractarea unei finanțări </w:t>
      </w:r>
      <w:r w:rsidR="00D119F0">
        <w:rPr>
          <w:rFonts w:ascii="Times New Roman" w:hAnsi="Times New Roman" w:cs="Times New Roman"/>
          <w:sz w:val="24"/>
          <w:szCs w:val="24"/>
        </w:rPr>
        <w:t>rambursabile externe în valoare de 9.200.000 euro</w:t>
      </w:r>
    </w:p>
    <w:p w:rsidR="00447C32" w:rsidRDefault="00447C32" w:rsidP="00D119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7C32">
        <w:rPr>
          <w:rFonts w:ascii="Times New Roman" w:hAnsi="Times New Roman" w:cs="Times New Roman"/>
          <w:sz w:val="24"/>
          <w:szCs w:val="24"/>
        </w:rPr>
        <w:t>pentru suplimentarea împrumutului existent în valoare de 15.000.000 euro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696"/>
        <w:gridCol w:w="5678"/>
        <w:gridCol w:w="1706"/>
        <w:gridCol w:w="2115"/>
      </w:tblGrid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447C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  <w:p w:rsidR="0005653F" w:rsidRPr="0005653F" w:rsidRDefault="0005653F" w:rsidP="00447C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Crt.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447C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Denumirea investiției de interes local finanțată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Valoare euro fără TVA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Valoare lei fără TVA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0565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Lucida Sans Unicode" w:hAnsi="Times New Roman" w:cs="Times New Roman"/>
                <w:sz w:val="24"/>
                <w:szCs w:val="24"/>
              </w:rPr>
              <w:t>Amenajare clădire din strada A. I. Cuza, nr. 1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7.804.925,23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37.800.813,87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0565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Lucida Sans Unicode" w:hAnsi="Times New Roman" w:cs="Times New Roman"/>
                <w:sz w:val="24"/>
                <w:szCs w:val="24"/>
              </w:rPr>
              <w:t>Reabilitare Sediu Primăria Mun. Craiova, str. A.I. Cuza, nr. 7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50.327,31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243.745,23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447C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447C32">
            <w:pPr>
              <w:pStyle w:val="Standard"/>
              <w:spacing w:line="360" w:lineRule="auto"/>
              <w:rPr>
                <w:rFonts w:eastAsia="Lucida Sans Unicode" w:cs="Times New Roman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>privind clădiri aparținând de 6 unități de învățământ în Craiova, astfel: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EC12D7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1.344.747,46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6.512.880,41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447C3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Școala Gimnazială „Sfântu Gheorghe”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425.842,88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2.062.442,19</w:t>
            </w:r>
          </w:p>
        </w:tc>
      </w:tr>
      <w:tr w:rsidR="00AA5ED7" w:rsidRPr="0005653F" w:rsidTr="00AA5ED7">
        <w:tc>
          <w:tcPr>
            <w:tcW w:w="69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5678" w:type="dxa"/>
            <w:vAlign w:val="center"/>
          </w:tcPr>
          <w:p w:rsidR="00AA5ED7" w:rsidRPr="0005653F" w:rsidRDefault="00AA5ED7" w:rsidP="00AA5ED7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Școala Gimnazială „Sfântu Gheorghe”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 xml:space="preserve"> – Școala nr. 23 </w:t>
            </w:r>
          </w:p>
        </w:tc>
        <w:tc>
          <w:tcPr>
            <w:tcW w:w="170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184.142,82</w:t>
            </w:r>
          </w:p>
        </w:tc>
        <w:tc>
          <w:tcPr>
            <w:tcW w:w="2115" w:type="dxa"/>
            <w:vAlign w:val="center"/>
          </w:tcPr>
          <w:p w:rsidR="00AA5ED7" w:rsidRPr="0005653F" w:rsidRDefault="00AA5ED7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891.840,44</w:t>
            </w:r>
          </w:p>
        </w:tc>
      </w:tr>
      <w:tr w:rsidR="00AA5ED7" w:rsidRPr="0005653F" w:rsidTr="00AA5ED7">
        <w:tc>
          <w:tcPr>
            <w:tcW w:w="69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</w:t>
            </w:r>
          </w:p>
        </w:tc>
        <w:tc>
          <w:tcPr>
            <w:tcW w:w="5678" w:type="dxa"/>
            <w:vAlign w:val="center"/>
          </w:tcPr>
          <w:p w:rsidR="00AA5ED7" w:rsidRPr="0005653F" w:rsidRDefault="00AA5ED7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Școala Gimnazială „Sfântu Gheorghe”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 xml:space="preserve"> – Școala nr. 24</w:t>
            </w:r>
          </w:p>
        </w:tc>
        <w:tc>
          <w:tcPr>
            <w:tcW w:w="170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241.700,06</w:t>
            </w:r>
          </w:p>
        </w:tc>
        <w:tc>
          <w:tcPr>
            <w:tcW w:w="2115" w:type="dxa"/>
            <w:vAlign w:val="center"/>
          </w:tcPr>
          <w:p w:rsidR="00AA5ED7" w:rsidRPr="0005653F" w:rsidRDefault="00AA5ED7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1.170.601,75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Grădinița „Pinocchio”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120.026,99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581.314,66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Grădinița „Castelul Fermecat”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106.085,42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513.792,79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Grădinița „Paradisul Copiilor”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129.197,14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625.727,49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Școala Gimnazială „Ion Creangă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287.302,88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1.391.465,21</w:t>
            </w:r>
          </w:p>
        </w:tc>
      </w:tr>
      <w:tr w:rsidR="00AA5ED7" w:rsidRPr="0005653F" w:rsidTr="00AA5ED7">
        <w:tc>
          <w:tcPr>
            <w:tcW w:w="69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5678" w:type="dxa"/>
            <w:vAlign w:val="center"/>
          </w:tcPr>
          <w:p w:rsidR="00AA5ED7" w:rsidRPr="0005653F" w:rsidRDefault="00AA5ED7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Școala Gimnazială „Ion Creangă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- Școala Gimnazială Ion Creangă</w:t>
            </w:r>
          </w:p>
        </w:tc>
        <w:tc>
          <w:tcPr>
            <w:tcW w:w="170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228.213,29</w:t>
            </w:r>
          </w:p>
        </w:tc>
        <w:tc>
          <w:tcPr>
            <w:tcW w:w="2115" w:type="dxa"/>
            <w:vAlign w:val="center"/>
          </w:tcPr>
          <w:p w:rsidR="00AA5ED7" w:rsidRPr="0005653F" w:rsidRDefault="00AA5ED7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1.105.282,57</w:t>
            </w:r>
          </w:p>
        </w:tc>
      </w:tr>
      <w:tr w:rsidR="00AA5ED7" w:rsidRPr="0005653F" w:rsidTr="00AA5ED7">
        <w:tc>
          <w:tcPr>
            <w:tcW w:w="69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3.5.2</w:t>
            </w:r>
          </w:p>
        </w:tc>
        <w:tc>
          <w:tcPr>
            <w:tcW w:w="5678" w:type="dxa"/>
            <w:vAlign w:val="center"/>
          </w:tcPr>
          <w:p w:rsidR="00AA5ED7" w:rsidRPr="0005653F" w:rsidRDefault="00AA5ED7" w:rsidP="00AA5ED7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Școala Gimnazială „Ion Creangă</w:t>
            </w:r>
            <w:r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- Grădinița Voinicelul</w:t>
            </w:r>
          </w:p>
        </w:tc>
        <w:tc>
          <w:tcPr>
            <w:tcW w:w="1706" w:type="dxa"/>
            <w:vAlign w:val="center"/>
          </w:tcPr>
          <w:p w:rsidR="00AA5ED7" w:rsidRPr="0005653F" w:rsidRDefault="00AA5ED7" w:rsidP="009F3591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59.089,59</w:t>
            </w:r>
          </w:p>
        </w:tc>
        <w:tc>
          <w:tcPr>
            <w:tcW w:w="2115" w:type="dxa"/>
            <w:vAlign w:val="center"/>
          </w:tcPr>
          <w:p w:rsidR="00AA5ED7" w:rsidRPr="0005653F" w:rsidRDefault="00AA5ED7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286.182,65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 xml:space="preserve">Măsuri de performanță energetică </w:t>
            </w:r>
            <w:r w:rsidRPr="0005653F">
              <w:rPr>
                <w:rFonts w:eastAsia="Lucida Sans Unicode" w:cs="Times New Roman"/>
                <w:color w:val="000000"/>
                <w:lang w:val="ro-RO"/>
              </w:rPr>
              <w:t xml:space="preserve">privind clădiri aparținând de 6 unități de învățământ în Craiova la </w:t>
            </w:r>
            <w:r w:rsidRPr="0005653F">
              <w:rPr>
                <w:rFonts w:eastAsia="Times New Roman" w:cs="Times New Roman"/>
                <w:bCs/>
                <w:color w:val="000000"/>
                <w:kern w:val="0"/>
                <w:lang w:val="ro-RO" w:eastAsia="ro-RO" w:bidi="ar-SA"/>
              </w:rPr>
              <w:t>Colegiul Național „Nicolae Titulescu”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276.292,15</w:t>
            </w:r>
          </w:p>
        </w:tc>
        <w:tc>
          <w:tcPr>
            <w:tcW w:w="2115" w:type="dxa"/>
            <w:vAlign w:val="center"/>
          </w:tcPr>
          <w:p w:rsidR="0005653F" w:rsidRPr="0005653F" w:rsidRDefault="0005653F" w:rsidP="0005653F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</w:pPr>
            <w:r w:rsidRPr="000565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o-RO"/>
              </w:rPr>
              <w:t>1.338.138,08</w:t>
            </w:r>
          </w:p>
        </w:tc>
      </w:tr>
      <w:tr w:rsidR="0005653F" w:rsidRPr="0005653F" w:rsidTr="00AA5ED7">
        <w:tc>
          <w:tcPr>
            <w:tcW w:w="69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vAlign w:val="center"/>
          </w:tcPr>
          <w:p w:rsidR="0005653F" w:rsidRPr="0005653F" w:rsidRDefault="0005653F" w:rsidP="009F3591">
            <w:pPr>
              <w:pStyle w:val="Standard"/>
              <w:spacing w:line="360" w:lineRule="auto"/>
              <w:rPr>
                <w:rFonts w:eastAsia="TimesNewRomanPSMT" w:cs="Times New Roman"/>
                <w:color w:val="000000"/>
                <w:lang w:val="ro-RO"/>
              </w:rPr>
            </w:pPr>
            <w:r w:rsidRPr="0005653F">
              <w:rPr>
                <w:rFonts w:eastAsia="TimesNewRomanPSMT" w:cs="Times New Roman"/>
                <w:color w:val="000000"/>
                <w:lang w:val="ro-RO"/>
              </w:rPr>
              <w:t>TOTAL</w:t>
            </w:r>
          </w:p>
        </w:tc>
        <w:tc>
          <w:tcPr>
            <w:tcW w:w="1706" w:type="dxa"/>
            <w:vAlign w:val="center"/>
          </w:tcPr>
          <w:p w:rsidR="0005653F" w:rsidRPr="0005653F" w:rsidRDefault="0005653F" w:rsidP="009F3591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sz w:val="24"/>
                <w:szCs w:val="24"/>
              </w:rPr>
              <w:t>9.200.000</w:t>
            </w:r>
          </w:p>
        </w:tc>
        <w:tc>
          <w:tcPr>
            <w:tcW w:w="2115" w:type="dxa"/>
          </w:tcPr>
          <w:p w:rsidR="0005653F" w:rsidRPr="0005653F" w:rsidRDefault="0005653F" w:rsidP="0005653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65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44.557.439,51</w:t>
            </w:r>
          </w:p>
        </w:tc>
      </w:tr>
    </w:tbl>
    <w:p w:rsidR="002D46F9" w:rsidRDefault="002D46F9" w:rsidP="009F359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6F9" w:rsidRPr="002D46F9" w:rsidRDefault="002D46F9" w:rsidP="002D46F9">
      <w:pPr>
        <w:rPr>
          <w:rFonts w:ascii="Times New Roman" w:hAnsi="Times New Roman" w:cs="Times New Roman"/>
          <w:sz w:val="24"/>
          <w:szCs w:val="24"/>
        </w:rPr>
      </w:pPr>
    </w:p>
    <w:p w:rsidR="002D46F9" w:rsidRPr="002D46F9" w:rsidRDefault="002D46F9" w:rsidP="002D46F9">
      <w:pPr>
        <w:rPr>
          <w:rFonts w:ascii="Times New Roman" w:hAnsi="Times New Roman" w:cs="Times New Roman"/>
          <w:sz w:val="24"/>
          <w:szCs w:val="24"/>
        </w:rPr>
      </w:pPr>
    </w:p>
    <w:p w:rsidR="002D46F9" w:rsidRPr="002D46F9" w:rsidRDefault="002D46F9" w:rsidP="002D46F9">
      <w:pPr>
        <w:rPr>
          <w:rFonts w:ascii="Times New Roman" w:hAnsi="Times New Roman" w:cs="Times New Roman"/>
          <w:sz w:val="24"/>
          <w:szCs w:val="24"/>
        </w:rPr>
      </w:pPr>
    </w:p>
    <w:p w:rsidR="002D46F9" w:rsidRPr="002D46F9" w:rsidRDefault="002D46F9" w:rsidP="002D46F9">
      <w:pPr>
        <w:rPr>
          <w:rFonts w:ascii="Times New Roman" w:hAnsi="Times New Roman" w:cs="Times New Roman"/>
          <w:sz w:val="24"/>
          <w:szCs w:val="24"/>
        </w:rPr>
      </w:pPr>
    </w:p>
    <w:p w:rsidR="002D46F9" w:rsidRPr="002D46F9" w:rsidRDefault="002D46F9" w:rsidP="002D46F9">
      <w:pPr>
        <w:rPr>
          <w:rFonts w:ascii="Times New Roman" w:hAnsi="Times New Roman" w:cs="Times New Roman"/>
          <w:sz w:val="24"/>
          <w:szCs w:val="24"/>
        </w:rPr>
      </w:pPr>
    </w:p>
    <w:p w:rsidR="002D46F9" w:rsidRPr="002D46F9" w:rsidRDefault="002D46F9" w:rsidP="002D46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C32" w:rsidRPr="002D46F9" w:rsidRDefault="002D46F9" w:rsidP="002D46F9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PREŞEDINTE DE ŞEDINŢĂ,</w:t>
      </w:r>
    </w:p>
    <w:p w:rsidR="002D46F9" w:rsidRPr="002D46F9" w:rsidRDefault="002D46F9" w:rsidP="002D46F9">
      <w:pPr>
        <w:tabs>
          <w:tab w:val="left" w:pos="367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46F9">
        <w:rPr>
          <w:rFonts w:ascii="Times New Roman" w:hAnsi="Times New Roman" w:cs="Times New Roman"/>
          <w:b/>
          <w:sz w:val="24"/>
          <w:szCs w:val="24"/>
        </w:rPr>
        <w:t>Adrian COSMAN</w:t>
      </w:r>
    </w:p>
    <w:sectPr w:rsidR="002D46F9" w:rsidRPr="002D46F9" w:rsidSect="005B6DF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6F9" w:rsidRDefault="002D46F9" w:rsidP="002D46F9">
      <w:pPr>
        <w:spacing w:after="0" w:line="240" w:lineRule="auto"/>
      </w:pPr>
      <w:r>
        <w:separator/>
      </w:r>
    </w:p>
  </w:endnote>
  <w:endnote w:type="continuationSeparator" w:id="0">
    <w:p w:rsidR="002D46F9" w:rsidRDefault="002D46F9" w:rsidP="002D4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6F9" w:rsidRDefault="002D46F9" w:rsidP="002D46F9">
      <w:pPr>
        <w:spacing w:after="0" w:line="240" w:lineRule="auto"/>
      </w:pPr>
      <w:r>
        <w:separator/>
      </w:r>
    </w:p>
  </w:footnote>
  <w:footnote w:type="continuationSeparator" w:id="0">
    <w:p w:rsidR="002D46F9" w:rsidRDefault="002D46F9" w:rsidP="002D46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712"/>
    <w:rsid w:val="0005653F"/>
    <w:rsid w:val="000D6ED0"/>
    <w:rsid w:val="001073A9"/>
    <w:rsid w:val="002D46F9"/>
    <w:rsid w:val="00447C32"/>
    <w:rsid w:val="00451AEA"/>
    <w:rsid w:val="00592712"/>
    <w:rsid w:val="005B6DFF"/>
    <w:rsid w:val="007250AE"/>
    <w:rsid w:val="00753FF5"/>
    <w:rsid w:val="007A426A"/>
    <w:rsid w:val="00900D7E"/>
    <w:rsid w:val="009F3591"/>
    <w:rsid w:val="00AA5ED7"/>
    <w:rsid w:val="00D119F0"/>
    <w:rsid w:val="00EC12D7"/>
    <w:rsid w:val="00FF4AA4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F1DB3-8F84-42F3-8DA6-8E1E0C43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47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47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47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47C32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2D4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D46F9"/>
  </w:style>
  <w:style w:type="paragraph" w:styleId="Subsol">
    <w:name w:val="footer"/>
    <w:basedOn w:val="Normal"/>
    <w:link w:val="SubsolCaracter"/>
    <w:uiPriority w:val="99"/>
    <w:unhideWhenUsed/>
    <w:rsid w:val="002D4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D4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6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364</Words>
  <Characters>2117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invest8</dc:creator>
  <cp:keywords/>
  <dc:description/>
  <cp:lastModifiedBy>utilizator sapl13</cp:lastModifiedBy>
  <cp:revision>5</cp:revision>
  <cp:lastPrinted>2020-08-21T06:35:00Z</cp:lastPrinted>
  <dcterms:created xsi:type="dcterms:W3CDTF">2020-08-20T06:41:00Z</dcterms:created>
  <dcterms:modified xsi:type="dcterms:W3CDTF">2020-08-21T06:35:00Z</dcterms:modified>
</cp:coreProperties>
</file>